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13 260 vom 23. Januar 2015</w:t>
      </w:r>
    </w:p>
    <w:p>
      <w:r>
        <w:t>VS Kantonsgericht, 2015-01-23, FR</w:t>
      </w:r>
    </w:p>
    <w:p>
      <w:r>
        <w:rPr>
          <w:b/>
        </w:rPr>
        <w:t xml:space="preserve">Quelle: </w:t>
      </w:r>
      <w:r>
        <w:t>https://mcp.opencaselaw.ch/entscheid/vs_gerichte_C1 13 260</w:t>
      </w:r>
    </w:p>
    <w:p>
      <w:r>
        <w:t>FR: VS_GERICHTE C1 13 260 du 23 janvier 2015</w:t>
      </w:r>
    </w:p>
    <w:p>
      <w:r>
        <w:t>IT: VS_GERICHTE C1 13 260 del 23 gennaio 2015</w:t>
      </w:r>
    </w:p>
    <w:p>
      <w:pPr>
        <w:pStyle w:val="Heading2"/>
      </w:pPr>
      <w:r>
        <w:t>Regeste</w:t>
      </w:r>
    </w:p>
    <w:p>
      <w:r>
        <w:t>C1 13 260 JUGEMENT DU 23 JANVIER 2015 Tribunal cantonal du Valais Cour civile II Composition : Jean-Pierre Derivaz, président; Jacques Berthouzoz et Stéphane Spahr, juges; Yves Burnier, greffier; en la cause X_________, défenderesse et appelante, représentée par Maître A_________ contre Y_________, demanderesse et appelée, représentée par Maître B_________ (contrat de travail : résiliation abusive [congé-modification]) recours contre le jugement du 17 septembre 2013 du juge de district de C_________</w:t>
      </w:r>
    </w:p>
    <w:p>
      <w:pPr>
        <w:pStyle w:val="Heading2"/>
      </w:pPr>
      <w:r>
        <w:t>Erwägungen</w:t>
      </w:r>
    </w:p>
    <w:p>
      <w:r>
        <w:rPr>
          <w:b/>
        </w:rPr>
        <w:t>E. 4</w:t>
      </w:r>
    </w:p>
    <w:p>
      <w:r>
        <w:t>L’appelante fait d’abord valoir une violation des règles de procédure. Selon elle, la procédure, en cours à l’entrée en vigueur, le 1er janvier 2011, du code de procédure civile suisse (CPC), était régie par l’ancien droit de procédure jusqu’à la clôture de l’instance (art. 404 al. 1 CPC). Il appartenait dès lors au Tribunal cantonal de statuer en première instance.</w:t>
      </w:r>
    </w:p>
    <w:p>
      <w:r>
        <w:rPr>
          <w:b/>
        </w:rPr>
        <w:t>E. 4.1</w:t>
      </w:r>
    </w:p>
    <w:p>
      <w:r>
        <w:t>A teneur de l’article 404 al. 1 CPC, les procédures en cours à l’entrée en vigueur de la présente loi sont régies par l’ancien droit de procédure jusqu’à la clôture de l’instance. Cette disposition ne précise pas le critère déterminant pour savoir si une procédure est en cours. Afin d’éviter des variations injustifiables du champ d’application de cette disposition selon les cantons, il ne faut pas se référer à la notion de litispendance selon le droit cantonal en vigueur jusqu’au 31 décembre 2010, mais à la notion uniforme d’ouverture d’action dégagée par la jurisprudence fédérale, voire à la notion de litispendance résultant du nouvel article 62 al. 1 CPC. En conséquence, l’instance concernée au sens de l’article 404 al. 1 CPC comprend notamment une éventuelle procédure de conciliation préalable (Tappy, Code de procédure civile, 2011 n. 11 ad art. 404 CPC; Willisegger, Commentaire bâlois, 2e éd., 2013, n. 16 ad art. 404 CPC; Walther, Commentaire bernois, 2012, n. 4 ad art. 404 CPC ; cf. ég. arrêt 4A_131/2012 du 28 août 2012 consid. 3.4).</w:t>
      </w:r>
    </w:p>
    <w:p>
      <w:r>
        <w:rPr>
          <w:b/>
        </w:rPr>
        <w:t>E. 4.2</w:t>
      </w:r>
    </w:p>
    <w:p>
      <w:r>
        <w:t>A teneur de l’article 75 al. 2 LTF, les cantons instituent des tribunaux supérieurs comme autorités cantonales de dernière instance. Cette disposition impose deux règles : l’autorité cantonale qui précède immédiatement le Tribunal fédéral doit être un tribunal supérieur (ATF 137 III 238 consid. 2.2, 424 consid. 2.1) et ce tribunal doit statuer sur recours, c’est-à-dire en seconde instance, sauf les exceptions prévues à l’article 75 al. 2 LTF (ATF 139 III 252 consid. 16; 137 III 238 consid. 2.2, 424 consid. 2.1). Le régime transitoire, qui suspendait l’application de cette disposition, a pris fin le 31 décembre 2010 (art. 130 al. 2 LTF). Depuis le 1er janvier 2011, le Tribunal cantonal doit donc juger non seulement en dernière instance cantonale, mais, en principe,</w:t>
      </w:r>
    </w:p>
    <w:p>
      <w:r>
        <w:t>- 24 - uniquement sur recours alors que, jusqu’au 31 décembre 2010, son activité en matière civile consistait à juger en unique et dernière instance cantonale de la plupart des causes civiles pécuniaires (Ducrot/Fux, Nouvelles législations relatives à l’organisation judiciaire et à la procédure civile : quoi de neuf pour le praticien valaisan ?, in RVJ 2011, p. 11). A dater du 1er janvier 2011, eu égard à l’exigence d’une double instance, il appartenait ainsi au Tribunal cantonal de retourner aux juges de district les causes qui lui avaient été transmises avant le 31 décembre 2010, mais qui n’avaient pas fait l’objet d’un jugement à cette date (Ducrot/Fux, op. cit., p. 135).</w:t>
      </w:r>
    </w:p>
    <w:p>
      <w:r>
        <w:rPr>
          <w:b/>
        </w:rPr>
        <w:t>E. 4.3</w:t>
      </w:r>
    </w:p>
    <w:p>
      <w:r>
        <w:t>En l’espèce, l’action, introduite devant l’autorité de conciliation avant le 1er janvier 2011, était soumise au CPC/VS. Le Tribunal cantonal n’était pas, pour autant, compétent pour statuer au mois de septembre 2013. Conformément aux exigences de la double instance, il incombait au juge de district de prononcer le jugement en première instance. Le grief y relatif doit, partant, être rejeté.</w:t>
      </w:r>
    </w:p>
    <w:p>
      <w:r>
        <w:rPr>
          <w:b/>
        </w:rPr>
        <w:t>E. 5</w:t>
      </w:r>
    </w:p>
    <w:p>
      <w:r>
        <w:t>L’appelante fait ensuite valoir une violation de l’article 336 CO. Elle conteste qu’il s’est agi d’une résiliation abusive. Elle souligne qu’elle a respecté le délai de congé et le terme d’échéance.</w:t>
      </w:r>
    </w:p>
    <w:p>
      <w:r>
        <w:rPr>
          <w:b/>
        </w:rPr>
        <w:t>E. 5.1</w:t>
      </w:r>
    </w:p>
    <w:p>
      <w:r>
        <w:t>En droit du travail prévaut le principe de la libre résiliation du contrat. Le droit de chaque partie de mettre unilatéralement fin au contrat est toutefois limité par les dispositions sur le congé abusif (art. 336 ss CO). L'article 336 CO énumère une liste non exhaustive des cas dans lesquels la résiliation est abusive. Pour résoudre la question d'un éventuel congé abusif, il convient de procéder à une appréciation d'ensemble des circonstances d'espèce (ATF 132 III 115 consid. 2.1 et 2.5).</w:t>
      </w:r>
    </w:p>
    <w:p>
      <w:r>
        <w:rPr>
          <w:b/>
        </w:rPr>
        <w:t>E. 5.2</w:t>
      </w:r>
    </w:p>
    <w:p>
      <w:r>
        <w:t>Lorsque la résiliation est fonction du refus du travailleur d'accepter une modification des conditions de travail, on est en présence d’un congé-modification. Le congé-modification au sens étroit se caractérise par le fait qu'une partie résilie le contrat de travail, mais accompagne sa déclaration de l'offre de poursuivre les rapports de travail à des conditions modifiées à l’issue du délai de congé. Dans le congé- modification au sens large, les deux actes juridiques ne sont pas immédiatement couplés; une partie reçoit son congé parce qu'elle n'a pas accepté une modification consensuelle des rapports de travail (arrêt 4C.282/2006 du 1er mars 2007 consid. 4.2; ATF 123 III 246 consid. 3). Dans les deux cas, le congé-modification ne tend pas, en première ligne, à la cessation des rapports de travail, mais à leur maintien moyennant des droits et devoirs modifiés (Favre Moreillon, Droit du travail, 2e éd., 2006, p. 188;</w:t>
      </w:r>
    </w:p>
    <w:p>
      <w:r>
        <w:t>- 25 - Streiff/von Kaenel/Rudolph, Arbeitsvertrag, 7e éd., 2012, n. 3 ad art. 335 CO; Wyler/Heinzer, Droit du travail, 3e éd., 2014, p. 504). Généralement, la modification proposée porte sur le salaire, sous la forme d’une réduction ou d’un changement des modalités de la rémunération, mais elle peut aussi concerner les autres conditions contractuelles de travail, telles la durée ou l’horaire de travail, le taux d’activité, le lieu d’activité ou les fonctions du travailleur (Wyler/Heinzer, op. cit., p. 506).</w:t>
      </w:r>
    </w:p>
    <w:p>
      <w:r>
        <w:rPr>
          <w:b/>
        </w:rPr>
        <w:t>E. 5.2.1</w:t>
      </w:r>
    </w:p>
    <w:p>
      <w:r>
        <w:t>Selon la jurisprudence, l'adaptation d'un contrat de travail aux exigences variables de l'économie ou de l'entreprise doit être possible et admissible. Il n’est ni dans l’intérêt des parties, ni dans l’intérêt général, de placer l’employeur devant l’alternative, soit de continuer d’occuper le travailleur aux conditions en vigueur, soit de résilier les rapports de travail. Aussi, la résiliation sous réserve de modification ne saurait apparaître dans tous les cas comme abusive (ATF 123 III 246 consid. 3b).</w:t>
      </w:r>
    </w:p>
    <w:p>
      <w:r>
        <w:rPr>
          <w:b/>
        </w:rPr>
        <w:t>E. 5.2.2</w:t>
      </w:r>
    </w:p>
    <w:p>
      <w:r>
        <w:t>Le congé peut être qualifié d'abusif si l'employeur a tenté d'imposer des modifications appelées à entrer en vigueur immédiatement, soit avant l'expiration du délai de résiliation, s'il a utilisé la résiliation comme moyen de pression pour imposer au travailleur une modification défavorable du contrat, sans qu’il n’existe de motifs économiques liés à l’exploitation de l’entreprise ou aux conditions du marché, ou encore si le congé est donné parce que l'employé refuse de conclure un nouveau contrat qui viole la loi, une convention collective ou un contrat-type applicable (arrêts 4A_155/2010 du 2 juillet 2010 consid. 3.3; 4C.282/2006 du 1er mars 2007 consid. 4.2; 4C.317/2006 du 4 janvier 2007 consid. 3.3, in JAR 2008 p. 133; ATF 125 III 70 consid. 2a; 123 III 246 consid. 3b et 4a). Le Tribunal fédéral considère en particulier que l’employé qui refuse une modification du contrat avant l’échéance du délai de résiliation fait valoir, de bonne foi, une prétention découlant du contrat de travail (art. 336 al. 1 let. d CO). En effet, l’employeur doit fournir les mêmes prestations contractuelles jusqu’à l’expiration du délai de congé (arrêt 4C.177/2003 du 21 octobre 2003 consid. 3.1, in JAR 2004 p. 331; ATF 123 III 246 consid. 3; Favre Moreillon, op. cit., p. 192). L’abus réside dans le fait que l’employeur met fin au contrat parce que l’employé refuse une péjoration immédiate de ses conditions de travail et fait valoir ainsi des prétentions qui résultent du contrat de travail (arrêts 4A_317/2006 du 4 janvier 2007 consid. 3.5, in JAR 2008 p. 133; 4C.177/2003 du 21 octobre 2003 consid. 3.3, in JAR 2004 p. 331; Brühwiler,</w:t>
      </w:r>
    </w:p>
    <w:p>
      <w:r>
        <w:t>- 26 - Einzelarbeitsvertrag, 3e éd., 2014, n. 5 ad art. 336 CO; Streiff/von Kaenel/Rudolph, n. 4 ad art. 336 CO; Favre Moreillon, op. cit., p. 193).</w:t>
      </w:r>
    </w:p>
    <w:p>
      <w:r>
        <w:rPr>
          <w:b/>
        </w:rPr>
        <w:t>E. 5.3</w:t>
      </w:r>
    </w:p>
    <w:p>
      <w:r>
        <w:t>En l’espèce, dès 2005, l’appelée a été autorisée à exercer une activité parallèle indépendante par ses employeurs, les centres X_________ de R_________ et de Q_________. La X_________ a, par la suite, consenti à ce que Y_________ poursuive cette activité aux conditions indiquées par W_________ dans son courrier du 9 mars 2005. Le 6 septembre 2010, CC_________, agissant pour la défenderesse, a invité la demanderesse notamment à renoncer, dans le futur, à l’exploitation d’un cabinet privé. L’employeur a ainsi offert de modifier une condition contractuelle de travail. Il n’a pas d’emblée résilié le contrat tout en accompagnant sa déclaration de l’offre de poursuivre les rapports de travail à des conditions modifiées à l’issue du délai de congé. Il ne s’est donc pas agi d’un congé-modification au sens étroit. En refusant d’accepter la modification proposée, la demanderesse, qui bénéficiait d’un délai de congé contractuel de quatre mois, a fait valoir une prétention qui résultait du contrat de travail. En raison de ce refus, la défenderesse a mis fin aux rapports de travail. L’extrait du procès-verbal de la séance du 14 septembre 2010, tenue quelques jours après l’entretien du 6 septembre 2010, est, à cet égard, éloquent : «[…] il s’avère que Mme Y_________ n’est pas disposée à arrêter son activité parallèle. Cette activité accessoire lèse nos intérêts légitimes et est considérée comme faisant concurrence aux centres X_________. Après délibération, le CoDi est unanime sur le fait que le contrat de travail doit être résilié.» (consid. 2.6.2). L’existence d’un lien de causalité entre le refus de la demanderesse d’accepter la modification contractuelle proposée et la résiliation du contrat de travail doit ainsi être admise (cf. consid. 2.13). Selon l’appelante, le congé-modification au sens large trouve sa cause dans la transgression, par l’appelée, du cadre prescrit pour l’exploitation du cabinet privé. Pareille transgression n’a pas été établie, à l’instar des autres griefs qui portaient sur la responsabilité de la diminution notable de l’activité de conseil conjugal des centres X_________ de Q_________ et de R_________ de 2000 à 2010, et/ou de la gestion déficiente de la facturation des consultations conjugales dans ces deux centres de 2007 à 2010. Au demeurant, pour les motifs exposés au considérant précédent, dans le mémoire-conclusions de la défenderesse, dans l’écriture que celle-ci a adressée à la caisse de chômage le 8 septembre 2011, et dans son mémoire d’appel, il apparaît que le congé n’est pas lié à une mauvaise qualité de travail ou à un comportement blâmable dans l’entreprise, mais au refus manifesté par l’appelée de renoncer à une activité accessoire. Le licenciement, donné alors que l’intéressée n’acceptait pas la</w:t>
      </w:r>
    </w:p>
    <w:p>
      <w:r>
        <w:t>- 27 - péjoration, à très court terme, de ses conditions de travail, apparaît abusif. C’est donc le procédé utilisé par l’employeur qui rend ce congé abusif, en sorte qu’il n’y a pas lieu de se demander si, au surplus, la modification du contrat proposée était, en elle-même, admissible (cf. arrêt 4C.177/2003 du 21 octobre 2003, in JAR 2004 p. 331, et réf. cit.). Il convient néanmoins de relever que l’exploitation du cabinet privé à un taux de 10 % représentait quelque trois consultations par mois, en sorte qu’elle n’était pas de nature à léser les intérêts économiques de la défenderesse. La modification proposée apparaissait ainsi inappropriée pour atteindre le but recherché.</w:t>
      </w:r>
    </w:p>
    <w:p>
      <w:r>
        <w:rPr>
          <w:b/>
        </w:rPr>
        <w:t>E. 6</w:t>
      </w:r>
    </w:p>
    <w:p>
      <w:r>
        <w:t>L’appelante fait valoir, subsidiairement, une violation de l’article 336a CO. Elle reproche au premier juge de ne pas avoir exposé les motifs pour lesquels il avait alloué à l’appelée une indemnité maximale qui correspondait à six mois de salaire.</w:t>
      </w:r>
    </w:p>
    <w:p>
      <w:r>
        <w:rPr>
          <w:b/>
        </w:rPr>
        <w:t>E. 6.1</w:t>
      </w:r>
    </w:p>
    <w:p>
      <w:r>
        <w:t>La partie qui résilie abusivement le contrat doit verser à l'autre une indemnité (art. 336a al. 1 CO). Celle-ci est fixée par le juge, compte tenu de toutes les circonstances; toutefois, elle ne peut dépasser le montant correspondant à six mois de salaire du travailleur. Sont réservés les dommages-intérêts qui pourraient être dus à un autre titre (art. 336a al. 2 CO).</w:t>
      </w:r>
    </w:p>
    <w:p>
      <w:r>
        <w:rPr>
          <w:b/>
        </w:rPr>
        <w:t>E. 6.1.1</w:t>
      </w:r>
    </w:p>
    <w:p>
      <w:r>
        <w:t>L'indemnité prévue à l'article 336a CO a une double finalité, punitive et réparatrice, quand bien même elle ne consiste pas en des dommages-intérêts au sens classique, car elle est due même si la victime ne subit ou ne prouve aucun dommage; revêtant un caractère sui generis, elle s'apparente à la peine conventionnelle. Le juge la fixe en équité en fonction de toutes les circonstances (art. 4 CC);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135 III 405 consid. 3.1; 123 III 246 consid. 6a, 391 consid. 3, et réf. cit.). La durée des rapports de travail peut, en particulier, être prise en compte dès lors qu’elle constitue l’un des éléments qui permet de mesurer l’intensité du lien contractuel (arrêt 4A_194/2011 du 5 juillet 2011 consid. 7.3). Une résiliation notifiée sans ménagement aucun peut augmenter le montant de la pénalité (ATF 123 III 246 consid. 6). Quant à l’éventuelle libération de l’obligation de travailler après la notification du licenciement, elle ne constitue pas un critère pertinent susceptible de justifier une</w:t>
      </w:r>
    </w:p>
    <w:p>
      <w:r>
        <w:t>- 28 - réduction de l’indemnité parce qu’elle ne concerne pas directement le congé (arrêt 4A_69/2010 du 6 avril 2010 consid. 5).</w:t>
      </w:r>
    </w:p>
    <w:p>
      <w:r>
        <w:rPr>
          <w:b/>
        </w:rPr>
        <w:t>E. 6.1.2</w:t>
      </w:r>
    </w:p>
    <w:p>
      <w:r>
        <w:t>Le salaire de référence est le salaire brut, auquel s’ajoutent les autres prestations de l’employeur revêtant un caractère salarial, comme les provisions ou le treizième salaire. Du point de vue temporel, il convient de se fonder sur le salaire du dernier mois ou, lorsque le salaire est variable, sur la moyenne des salaires de la dernière année (arrêts 4A_348/2010 du 8 octobre 2010 consid. 6.5 ; 4A_571/2008 du 5 mars 2009 consid. 5.1; Streiff/von Kaenel/Rudolph, n. 3 ad art. 336a CO; Wyler/Heinzer, op. cit., p. 659). L’indemnité n’est pas sujette à cotisation (ATF 123 V 5).</w:t>
      </w:r>
    </w:p>
    <w:p>
      <w:r>
        <w:rPr>
          <w:b/>
        </w:rPr>
        <w:t>E. 6.2.1</w:t>
      </w:r>
    </w:p>
    <w:p>
      <w:r>
        <w:t>En l’espèce, au moment de la fin des rapports de travail, l’appelée était âgée de 53 ans. Elle œuvrait, à temps partiel, depuis quelque treize ans auprès du centre X_________ de R_________. Elle avait ainsi noué des contacts avec ses collègues de travail et s’était fait connaître, dans son entourage, comme employée de la défenderesse. Durant environ dix-huit mois, elle a, de surcroît, occupé la fonction de coordinatrice, sans être rémunérée, ce qui lui offrait la perspective de la poursuite des rapports de travail.</w:t>
      </w:r>
    </w:p>
    <w:p>
      <w:r>
        <w:rPr>
          <w:b/>
        </w:rPr>
        <w:t>E. 6.2.2</w:t>
      </w:r>
    </w:p>
    <w:p>
      <w:r>
        <w:t>La faute de l’employeur est grave. Il n’était pas admissible de renvoyer l’appelée parce qu’elle refusait une modification des conditions contractuelles, sollicitée sur la base de faits qui n’étaient pas avérés. Certes, la X_________ était confrontée à une baisse des consultations conjugales aux centres X_________ de R_________ et de Q_________. Elle ne se trouvait pas, pour autant, dans une situation financière difficile. Elle n’a en particulier pas allégué que, en raison de celle-ci, elle était contrainte de diminuer son personnel. De surcroît, l’activité indépendante de la demanderesse était particulièrement réduite. Exercée à un taux de 10 %, elle ne lui procurait qu’un revenu mensuel brut de l’ordre de 330 fr., montant qui correspondait à trois consultations par mois ! La signification du licenciement s’est déroulée de manière particulièrement maladroite. Alors qu’elle devait intervenir sous pli recommandé (consid. 2.2), CC_________ s’est rendu sur le lieu de travail de l’intéressée pour lui signifier son congé. Durant la discussion, il a haussé le ton. Cela n’a pas échappé à la clientèle, qui a dû être rassurée par la coordinatrice EE_________.</w:t>
      </w:r>
    </w:p>
    <w:p>
      <w:r>
        <w:t>- 29 - La défenderesse n’a établi aucun manquement sérieux imputable à la demanderesse.</w:t>
      </w:r>
    </w:p>
    <w:p>
      <w:r>
        <w:rPr>
          <w:b/>
        </w:rPr>
        <w:t>E. 6.2.3</w:t>
      </w:r>
    </w:p>
    <w:p>
      <w:r>
        <w:t>Le licenciement et les circonstances dans lesquelles il s’est déroulé ont eu de sérieuses répercussions sur l’état de santé de l’intéressée. Le 29 septembre 2010, elle s’est ainsi présentée dans «un état de stress aigu» auprès de la Dresse I_________. Selon celle-ci, la demanderesse avait un sentiment intense de détresse psychique. Elle a mis en évidence des troubles de l’attention et de la concentration. Y_________ peinait, en outre, à se tenir debout et à conserver son équilibre. La Dresse I_________ a prescrit un traitement médicamenteux et une incapacité de travail à 100 %. Quelques jours plus tard, Y_________ s’est entretenue avec la présidente de la X_________. En pleurs, elle avait le sentiment que «[l]e ciel lui tombait sur la tête». K_________ et MM_________ ont procédé à des constatations analogues. La situation ne s’est, par la suite, pas améliorée. La Dresse I_________ a ainsi traité l’état de stress post-traumatique chronique, «dont une dépression faisait partie du tableau clinique». L’évolution n’a été que «très lentement» favorable. Le 8 octobre 2011, le traitement n’avait pas pris fin. Y_________ avait certes, par le passé, été suivie pour des troubles de l’adaptation consécutifs à des difficultés de vie, mais de manière épisodique. La Dresse I_________ a souligné que les symptômes n’avaient notamment jamais été de nature à priver l’intéressée de sa capacité de travail. Le Dr D_________ a constaté la présence de symptômes résiduels environ dix-neuf mois après le licenciement. La référence aux circonstances de celui-ci était, à cette époque encore, de nature à susciter, chez l’intéressée, des phénomènes affectifs incontrôlables. Le cancer sévère qui s’est, par la suite, développé ne peut, en revanche, être imputé aux conséquences du licenciement. L’opinion de «certains auteurs», citée par l’expert judiciaire, est, à cet égard, insuffisante pour relier ce trouble majeur de la santé au traumatisme psychique initial.</w:t>
      </w:r>
    </w:p>
    <w:p>
      <w:r>
        <w:rPr>
          <w:b/>
        </w:rPr>
        <w:t>E. 6.2.4</w:t>
      </w:r>
    </w:p>
    <w:p>
      <w:r>
        <w:t>La demanderesse travaillait à mi-temps pour la défenderesse. Elle était néanmoins économiquement dépendante de celle-ci. L’exploitation de son cabinet privé était, en effet, réduite et ne lui procurait qu’un revenu mensuel brut inférieur à 500 francs. A la suite du licenciement, elle a été en incapacité de travail à 100 % jusqu’au 28 février 2001, puis à 50 % à compter de cette date au 31 août suivant. Elle n’a plus exercé d’activité salariée. Du mois de juillet 2010 au mois d’octobre 2011, son travail indépendant lui a procuré un revenu mensuel brut moyen de quelque 474 francs. Les conséquences économiques du congé sont ainsi lourdes.</w:t>
      </w:r>
    </w:p>
    <w:p>
      <w:r>
        <w:t>- 30 - Il n’y a pas lieu de tenir compte de la dispense de travailler jusqu’à la fin du contrat. Il n’est, en effet, pas prouvé que, durant cette période, l’intéressée a occupé un emploi équivalent ou qu’elle aurait pu le faire.</w:t>
      </w:r>
    </w:p>
    <w:p>
      <w:r>
        <w:rPr>
          <w:b/>
        </w:rPr>
        <w:t>E. 6.3</w:t>
      </w:r>
    </w:p>
    <w:p>
      <w:r>
        <w:t>Au vu de ces éléments, en particulier des sérieuses répercussions du licenciement et des circonstances dans lesquelles il s’est déroulé sur la santé de la demanderesse, ainsi que de la gravité de la faute de l’employeur, une indemnité correspondant à six mois de salaire paraît adéquate. En 2011, les salaires bruts perçus par la demanderesse pour son activité auprès des centres X_________ de R_________ et de Q_________, part du 13e salaire comprise, s’élevaient au montant total de 5166 fr. 95 (3100 fr. 17 + 2066 fr. 78). L’indemnité allouée devrait ainsi être arrêtée au montant de 31'001 fr. 70 (5166 fr. 95 x 6). Le premier juge, se référant aux conclusions de la demanderesse, lui a cependant alloué, à ce titre, le montant qu’elle réclamait, soit 24'596 fr. 80, avec intérêt à 5 % dès le 29 septembre 2010. A défaut d’appel principal ou d’appel joint de la demanderesse, l’interdiction de la reformatio in peius empêche, en principe (consid. 7.3), la cour de céans d’aller au-delà de ce montant (ATF 134 III 151 consid. 3.2). Avant de statuer, à cet égard, il convient cependant d’examiner si le premier juge a, à juste titre, alloué à la demanderesse un montant de 5000 fr. à titre de réparation morale (consid. 7).</w:t>
      </w:r>
    </w:p>
    <w:p>
      <w:r>
        <w:rPr>
          <w:b/>
        </w:rPr>
        <w:t>E. 7</w:t>
      </w:r>
    </w:p>
    <w:p>
      <w:r>
        <w:t>L’appelante fait, à cet égard, valoir une violation de l’article 328 CO.</w:t>
      </w:r>
    </w:p>
    <w:p>
      <w:r>
        <w:rPr>
          <w:b/>
        </w:rPr>
        <w:t>E. 7.1</w:t>
      </w:r>
    </w:p>
    <w:p>
      <w:r>
        <w:t>Une résiliation abusive comporte une atteinte aux droits de la personnalité du travailleur (ATF 135 III 405 consid. 3.2). Cette atteinte ouvre les droits précisément décrits à l’article 336a CO, en particulier le droit à une indemnité. Celle-ci ne laisse guère de place à une application cumulative de l’article 49 CO. Le Tribunal fédéral ne l’exclut cependant pas dans des situations exceptionnelles, lorsque l’atteinte serait à ce point grave qu’un montant correspondant à six mois de salaire ne suffirait pas à la réparer (arrêts 4C.84/2005 du 16 juin 2005 consid. 5.1, in ARV 2005 p. 246; 4C. 343/2003 du 13 octobre 2004, in JAR 2005 p. 285; 4C.310/1998 du 8 janvier 1999 consid. 4a, in SJ 1999 I 277). L’article 336 al. 2 in fine CO réserve, en outre, les dommages-intérêts qui pourraient être dus à un autre titre, en sorte que le travailleur conserve le droit de réclamer la réparation du préjudice qui résulte d’une autre cause que celle liée au caractère abusif du congé (ATF 135 III 405 consid. 3.2; Brühwiler, n. 3 ad art. 336a CO; Streiff/von Kaenel/Rudolph, n. 8 ad art. 336a CO). Ainsi, l'employeur devra verser des dommages-intérêts à son ancien employé s'il a fourni sur ce dernier des</w:t>
      </w:r>
    </w:p>
    <w:p>
      <w:r>
        <w:t>- 31 - renseignements faux et attentatoires à l'honneur et a découragé de la sorte un employeur d'engager la personne en question (cf. arrêts 4C.379/2002 du 22 avril 2003; 4C.322/1998 du 11 mai 1999). Il en va de même de l’employée confrontée à des propos à caractère sexuel et a des gestes déplacés d’un supérieur hiérarchique et ensuite licenciée après s’être plainte de ces agissements; les actes de harcèlement constituent une atteinte indépendante du congé-représailles qui fait suite à la plainte de l’employeur, adressée à l’employeur, contre le directeur (arrêt 4C.310/1998 du</w:t>
      </w:r>
    </w:p>
    <w:p>
      <w:r>
        <w:rPr>
          <w:b/>
        </w:rPr>
        <w:t>E. 7.2</w:t>
      </w:r>
    </w:p>
    <w:p>
      <w:r>
        <w:t>En l’espèce, le premier juge a considéré que, le 28 septembre 2010, CC_________ avait exercé «de graves pressions» lorsqu’il avait signifié la lettre de licenciement à la demanderesse. Ce comportement, qui avait dérangé les collègues de travail, avait porté atteinte aux relations sociales que l’intéressée entretenait avec celles-ci. Il avait également contribué à provoquer la dépression de l’appelée. Le comportement de CC_________, mis en évidence, n’est pas indépendant du licenciement. Il porte, en effet, sur les circonstances dans lesquelles celui-ci a été notifié. Il s’agit de l’un des critères à prendre en considération pour fixer l’indemnité de l’article 336a CO (consid. 6.1 et 6.2.2). L’appelée ne prétend pas que CC_________ a, le 28 septembre 2010, communiqué, en sus, les motifs du congé à l’entier du personnel du centre X_________ de R_________. Elle ne soutient pas plus qu’il a nui à la considération sociale et professionnelle dont elle bénéficiait auprès de ses anciens collègues en leur exposant qu’elle avait détourné la clientèle des centres X_________. Dans ces circonstances, l’appelée n’a pas démontré une atteinte aux droits de la personnalité plus étendue que celle qui a donné lieu à l’octroi d’une indemnité au sens de l’article 336a al. 1 CO. La souffrance psychique de la demanderesse consécutive au licenciement et à la manière dont celui-ci a été communiqué est certes intense. Elle n’est pas, pour autant,</w:t>
      </w:r>
    </w:p>
    <w:p>
      <w:r>
        <w:t>- 32 - grave au point que le montant alloué, qui correspond à six mois de salaire, ne suffit pas à la réparer. Dans une situation comparable, le Tribunal fédéral a abouti à la même conclusion (arrêt 4C.86/2001 du 28 mars 2002 consid. 2b). Il était alors question d'un employé, ayant travaillé pendant plus de quinze ans pour son employeur, qui avait dénoncé - à juste titre - le non-respect, par certains chefs de service, de prescriptions concernant la durée du travail ou la sécurité dans l'exploitation. Cet employé a fait l'objet de toutes sortes de reproches dont certains se sont révélés discutables voire mal fondés. Son licenciement s'est déroulé de manière relativement humiliante; la défenderesse a pris pour prétexte la plainte d'un usager pour le licencier, sans lui permettre de s'exprimer, n'offrant aucun espace de discussion. Le licenciement a eu de sérieuses répercussions sur la santé de l'employé qui a souffert d'un état anxio-dépressif important et inquiétant à l'annonce de son futur licenciement. Il a aussi eu de lourdes conséquences économiques puisque le travailleur s'est retrouvé au chômage et qu'il ne semblait pas avoir pu reprendre rapidement une nouvelle activité professionnelle (arrêt cité consid. 1e). L'atteinte à la personnalité de l'employé a été considérée comme grave et une indemnité correspondant à six mois de salaire lui a été octroyée. Le Tribunal fédéral a observé qu'aucun des motifs pouvant justifier l'application de l'article 49 CO n'avait été constaté et que l'atteinte à la personnalité du travailleur se rattachait strictement au motif du licenciement, à ses modalités et à ses conséquences. C’est dès lors, à tort, que le premier juge a alloué à la demanderesse, en sus de l’indemnité qui correspondait à six mois de salaire, le montant de 5000 francs. Le jugement querellé ne doit pas, pour autant, être réformé (consid. 7.3).</w:t>
      </w:r>
    </w:p>
    <w:p>
      <w:r>
        <w:rPr>
          <w:b/>
        </w:rPr>
        <w:t>E. 7.3</w:t>
      </w:r>
    </w:p>
    <w:p>
      <w:r>
        <w:t>Lorsque la demande se décompose en plusieurs postes résultant d’une même cause, la jurisprudence admet que le tribunal puisse modifier les montants alloués pour chacun des postes, à la condition que la somme totale accordée ne dépasse pas le montant total qui est demandé (Glasl, DIKE-Komm, 2011, n. 22 ad art. 58 CPC; Hurni, Commentaire bernois, 2012, n. 30 ad art. 58 CPC). Le Tribunal fédéral a ainsi considéré qu’il n’était lié que par le montant total réclamé, si bien qu’il pouvait allouer davantage pour un des éléments et moins pour un autre (ATF 123 III 115 consid. 6d; 119 II 296 consid. 2). Cette règle s’applique sans égard au fait que le recours émane du demandeur ou du défendeur (Corboz, Commentaire de la LTF, 2e éd., 2014, n. 9 ad art. 107 LTF). Elle délimite la portée de l’interdiction de la reformatio in peius.</w:t>
      </w:r>
    </w:p>
    <w:p>
      <w:r>
        <w:t>- 33 - En l’occurrence, la prétention de la demanderesse, fondée sur l’article 328 CO, a été rejetée. Le montant de l’indemnité en raison du congé abusif a, pour sa part, été fixé, par le premier juge, à 24'596 fr. 80 en capital, alors que l’intéressée pouvait prétendre, à ce titre, au paiement d’un montant de 31'001 fr. 70. Dans ces circonstances, il y a lieu de porter le montant de cette indemnité à 29'596 fr. 80 (24'596 fr. 80 + 5000 fr.), avec intérêt à 5 % dès le 29 septembre 2010, soit au montant total alloué dans le jugement querellé. L’opposition au commandement de payer délivré dans la poursuite n° xxx1 de l’office des poursuites de C_________ est définitivement levée à due concurrence.</w:t>
      </w:r>
    </w:p>
    <w:p>
      <w:r>
        <w:rPr>
          <w:b/>
        </w:rPr>
        <w:t>E. 8</w:t>
      </w:r>
    </w:p>
    <w:p>
      <w:r>
        <w:t>janvier 1999 consid. 4, in SJ 1999 I 277). Le travailleur astreint à des conditions de travail inacceptables, spécialement en matière d’horaires, ayant influé sur son état de santé, qui est congédié en raison de sa personnalité ne convenant pas à ses supérieurs et de différentes prétentions formulées par son conseil, peut aussi cumulativement prétendre à une indemnité pour tort moral en application de l’article 49 CO et à une indemnité de licenciement abusif (arrêt 4A_279/2008 du 12 septembre 2008 consid. 4.2). A l’occasion du licenciement, des reproches de type diffamatoire, n’ayant aucun lien de connexité avec la relation de travail, que l’employeur adresserait au travailleur peuvent justifier l’octroi d’une réparation morale, en sus de l’indemnité pour licenciement abusif (arrêt 4A_218/2012 du 24 juillet 2012 consid. 2.3, et réf. cit.).</w:t>
      </w:r>
    </w:p>
    <w:p>
      <w:r>
        <w:rPr>
          <w:b/>
        </w:rPr>
        <w:t>E. 8.1</w:t>
      </w:r>
    </w:p>
    <w:p>
      <w:r>
        <w:t>Le jugement dont appel est certes partiellement réformé. Il n’en demeure pas moins que le montant total alloué à la demanderesse est confirmé par substitution de motifs. Dans ces circonstances, il n’y a pas lieu de modifier le sort des frais et des dépens en première instance. L’appelante n’a pas contesté, subsidiairement, le montant des frais de justice, arrêté à 8000 fr. conformément aux dispositions applicables (art. 7 ss, 13 et 16 al. 1 LTar), qui est, partant, confirmé. Eu égard aux avances respectives, la défenderesse versera à la demanderesse le montant de 450 fr., à titre de remboursement d’avance. Chaque partie supporte, en première instance, ses frais d’intervention.</w:t>
      </w:r>
    </w:p>
    <w:p>
      <w:r>
        <w:rPr>
          <w:b/>
        </w:rPr>
        <w:t>E. 8.2</w:t>
      </w:r>
    </w:p>
    <w:p>
      <w:r>
        <w:t>En appel, la défenderesse obtient certes gain de cause sur la question de l’indemnité fondée sur l’article 328 CO. Elle est cependant astreinte à payer le montant total alloué par le premier juge. Les frais et les dépens en seconde instance doivent dès lors être également mis à sa charge. L'émolument est calculé par référence au barème applicable en première instance compte tenu d'un coefficient de réduction de 60 % (art. 19 LTar). La cause présentait un degré de difficulté ordinaire. Dans ces conditions, eu égard aux principes de la couverture des frais et de l'équivalence des prestations, ainsi qu'à la situation pécuniaire des parties, les frais de justice sont arrêtés à 1500 francs. Les honoraires sont également calculés par référence au barème applicable en première instance, compte tenu d'un coefficient de réduction de 60 % (art. 35 al. 1 let. a LTar). L’activité du conseil de l’appelée a consisté à prendre connaissance de la déclaration d’appel et à rédiger une réponse. Eu égard au degré ordinaire de difficulté de la cause, à la valeur litigieuse et à la situation financière des parties, les dépens sont arrêtés à 2100 fr., débours compris.</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